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C1" w:rsidRPr="00E27BC1" w:rsidRDefault="00E27BC1" w:rsidP="00E27BC1">
      <w:pPr>
        <w:autoSpaceDE w:val="0"/>
        <w:spacing w:before="240" w:line="240" w:lineRule="auto"/>
        <w:ind w:left="142"/>
        <w:jc w:val="both"/>
        <w:rPr>
          <w:rFonts w:ascii="Times New Roman" w:eastAsia="Verdana-Bold" w:hAnsi="Times New Roman" w:cs="Verdana-Bold"/>
          <w:b/>
          <w:bCs/>
          <w:sz w:val="24"/>
          <w:szCs w:val="24"/>
        </w:rPr>
      </w:pPr>
      <w:r w:rsidRPr="00E27BC1">
        <w:rPr>
          <w:rFonts w:ascii="Times New Roman" w:eastAsia="Verdana-Bold" w:hAnsi="Times New Roman" w:cs="Verdana-Bold"/>
          <w:b/>
          <w:bCs/>
          <w:sz w:val="24"/>
          <w:szCs w:val="24"/>
        </w:rPr>
        <w:t>Etichettatura degli item dei livelli del primo ciclo</w:t>
      </w:r>
    </w:p>
    <w:p w:rsidR="00E27BC1" w:rsidRPr="00E27BC1" w:rsidRDefault="00E27BC1" w:rsidP="00E27BC1">
      <w:pPr>
        <w:autoSpaceDE w:val="0"/>
        <w:spacing w:before="240" w:line="240" w:lineRule="auto"/>
        <w:ind w:left="142"/>
        <w:jc w:val="both"/>
        <w:rPr>
          <w:rFonts w:ascii="Times New Roman" w:eastAsia="Verdana-Bold" w:hAnsi="Times New Roman" w:cs="Verdana-Bold"/>
          <w:b/>
          <w:bCs/>
          <w:sz w:val="24"/>
          <w:szCs w:val="24"/>
        </w:rPr>
      </w:pPr>
      <w:r w:rsidRPr="00E27BC1">
        <w:rPr>
          <w:rFonts w:ascii="Times New Roman" w:eastAsia="Verdana-Bold" w:hAnsi="Times New Roman" w:cs="Verdana-Bold"/>
          <w:b/>
          <w:bCs/>
          <w:sz w:val="24"/>
          <w:szCs w:val="24"/>
        </w:rPr>
        <w:t>riferita ai curricoli di legge</w:t>
      </w:r>
    </w:p>
    <w:p w:rsidR="00E27BC1" w:rsidRPr="00E27BC1" w:rsidRDefault="00E27BC1" w:rsidP="00E27BC1">
      <w:pPr>
        <w:tabs>
          <w:tab w:val="left" w:pos="1077"/>
        </w:tabs>
        <w:autoSpaceDE w:val="0"/>
        <w:spacing w:before="240" w:line="240" w:lineRule="auto"/>
        <w:ind w:left="142"/>
        <w:jc w:val="both"/>
        <w:rPr>
          <w:rFonts w:ascii="Times New Roman" w:eastAsia="Verdana-Bold" w:hAnsi="Times New Roman" w:cs="Verdana-Bold"/>
          <w:b/>
          <w:bCs/>
          <w:sz w:val="24"/>
          <w:szCs w:val="24"/>
        </w:rPr>
      </w:pPr>
      <w:r w:rsidRPr="00E27BC1">
        <w:rPr>
          <w:rFonts w:ascii="Times New Roman" w:eastAsia="Verdana-Bold" w:hAnsi="Times New Roman" w:cs="Verdana-Bold"/>
          <w:b/>
          <w:bCs/>
          <w:sz w:val="24"/>
          <w:szCs w:val="24"/>
        </w:rPr>
        <w:tab/>
      </w:r>
    </w:p>
    <w:p w:rsidR="00E27BC1" w:rsidRPr="00E27BC1" w:rsidRDefault="00E27BC1" w:rsidP="00E27BC1">
      <w:pPr>
        <w:autoSpaceDE w:val="0"/>
        <w:spacing w:before="240" w:line="240" w:lineRule="auto"/>
        <w:ind w:left="142"/>
        <w:jc w:val="both"/>
        <w:rPr>
          <w:rFonts w:ascii="Times New Roman" w:eastAsia="Verdana-Bold" w:hAnsi="Times New Roman" w:cs="Verdana-Bold"/>
          <w:i/>
          <w:iCs/>
          <w:sz w:val="24"/>
          <w:szCs w:val="24"/>
        </w:rPr>
      </w:pPr>
      <w:r w:rsidRPr="00E27BC1">
        <w:rPr>
          <w:rFonts w:ascii="Times New Roman" w:eastAsia="Verdana-Bold" w:hAnsi="Times New Roman" w:cs="Verdana-Bold"/>
          <w:sz w:val="24"/>
          <w:szCs w:val="24"/>
        </w:rPr>
        <w:t xml:space="preserve">L'etichettatura è fatta in primo luogo con riferimento alle </w:t>
      </w:r>
      <w:r w:rsidRPr="00E27BC1">
        <w:rPr>
          <w:rFonts w:ascii="Times New Roman" w:eastAsia="Verdana-Bold" w:hAnsi="Times New Roman" w:cs="Verdana-Bold"/>
          <w:i/>
          <w:iCs/>
          <w:sz w:val="24"/>
          <w:szCs w:val="24"/>
        </w:rPr>
        <w:t>Indicazioni Nazionali per il curricolo della scuola dell'infanzia e del primo ciclo d'istruzione.</w:t>
      </w:r>
    </w:p>
    <w:p w:rsidR="00E27BC1" w:rsidRPr="00E27BC1" w:rsidRDefault="00E27BC1" w:rsidP="00E27BC1">
      <w:pPr>
        <w:autoSpaceDE w:val="0"/>
        <w:spacing w:before="240" w:line="240" w:lineRule="auto"/>
        <w:ind w:left="142"/>
        <w:jc w:val="both"/>
        <w:rPr>
          <w:rFonts w:ascii="Times New Roman" w:eastAsia="Verdana-Bold" w:hAnsi="Times New Roman" w:cs="Verdana-Bold"/>
          <w:sz w:val="24"/>
          <w:szCs w:val="24"/>
        </w:rPr>
      </w:pPr>
      <w:r w:rsidRPr="00E27BC1">
        <w:rPr>
          <w:rFonts w:ascii="Times New Roman" w:eastAsia="Verdana-Bold" w:hAnsi="Times New Roman" w:cs="Verdana-Bold"/>
          <w:sz w:val="24"/>
          <w:szCs w:val="24"/>
        </w:rPr>
        <w:t xml:space="preserve">I </w:t>
      </w:r>
      <w:r w:rsidRPr="00E27BC1">
        <w:rPr>
          <w:rFonts w:ascii="Times New Roman" w:eastAsia="Verdana-Bold" w:hAnsi="Times New Roman" w:cs="Verdana-Bold"/>
          <w:i/>
          <w:iCs/>
          <w:sz w:val="24"/>
          <w:szCs w:val="24"/>
        </w:rPr>
        <w:t xml:space="preserve">Traguardi per lo sviluppo delle competenze </w:t>
      </w:r>
      <w:r w:rsidRPr="00E27BC1">
        <w:rPr>
          <w:rFonts w:ascii="Times New Roman" w:eastAsia="Verdana-Bold" w:hAnsi="Times New Roman" w:cs="Verdana-Bold"/>
          <w:sz w:val="24"/>
          <w:szCs w:val="24"/>
        </w:rPr>
        <w:t>sono stati indicizzati in 22 punti (indicati con le sigle TP o TS, a seconda che si tratti dei traguardi per la fine della scuola primaria o per la fine della scuola secondaria di primo grado) e numerati progressivamente con numeri romani.</w:t>
      </w:r>
    </w:p>
    <w:p w:rsidR="00E27BC1" w:rsidRPr="00E27BC1" w:rsidRDefault="00E27BC1" w:rsidP="00E27BC1">
      <w:pPr>
        <w:autoSpaceDE w:val="0"/>
        <w:spacing w:before="240" w:line="240" w:lineRule="auto"/>
        <w:ind w:left="142"/>
        <w:jc w:val="both"/>
        <w:rPr>
          <w:rFonts w:ascii="Times New Roman" w:eastAsia="Verdana-Bold" w:hAnsi="Times New Roman" w:cs="Verdana-Bold"/>
          <w:sz w:val="24"/>
          <w:szCs w:val="24"/>
        </w:rPr>
      </w:pPr>
      <w:r w:rsidRPr="00E27BC1">
        <w:rPr>
          <w:rFonts w:ascii="Times New Roman" w:eastAsia="Verdana-Bold" w:hAnsi="Times New Roman" w:cs="Verdana-Bold"/>
          <w:sz w:val="24"/>
          <w:szCs w:val="24"/>
        </w:rPr>
        <w:t xml:space="preserve">Gli </w:t>
      </w:r>
      <w:r w:rsidRPr="00E27BC1">
        <w:rPr>
          <w:rFonts w:ascii="Times New Roman" w:eastAsia="Verdana-Bold" w:hAnsi="Times New Roman" w:cs="Verdana-Bold"/>
          <w:i/>
          <w:iCs/>
          <w:sz w:val="24"/>
          <w:szCs w:val="24"/>
        </w:rPr>
        <w:t xml:space="preserve">Obiettivi di apprendimento </w:t>
      </w:r>
      <w:r w:rsidRPr="00E27BC1">
        <w:rPr>
          <w:rFonts w:ascii="Times New Roman" w:eastAsia="Verdana-Bold" w:hAnsi="Times New Roman" w:cs="Verdana-Bold"/>
          <w:sz w:val="24"/>
          <w:szCs w:val="24"/>
        </w:rPr>
        <w:t>sono stati indicizzati in 86 punti indicati con la sigla Ob seguita dall'indicazione del livello (3 per la classe terza primaria, 5 per la classe quinta primaria, 8 per la classe terza della secondaria di primo grado) e numerati progressivamente con numeri arabi.</w:t>
      </w: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eastAsia="Verdana-Bold" w:hAnsi="Times New Roman" w:cs="Verdana-Bold"/>
          <w:sz w:val="24"/>
          <w:szCs w:val="24"/>
        </w:rPr>
      </w:pP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eastAsia="Verdana-Bold" w:hAnsi="Times New Roman" w:cs="Verdana-Bold"/>
          <w:sz w:val="24"/>
          <w:szCs w:val="24"/>
        </w:rPr>
      </w:pP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eastAsia="Verdana-Bold" w:hAnsi="Times New Roman" w:cs="Verdana-Bold"/>
          <w:sz w:val="24"/>
          <w:szCs w:val="24"/>
        </w:rPr>
      </w:pP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eastAsia="Verdana-Bold" w:hAnsi="Times New Roman" w:cs="Verdana-Bold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b/>
          <w:color w:val="FF0000"/>
          <w:sz w:val="44"/>
          <w:szCs w:val="4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b/>
          <w:color w:val="FF0000"/>
          <w:sz w:val="44"/>
          <w:szCs w:val="4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b/>
          <w:color w:val="FF0000"/>
          <w:sz w:val="44"/>
          <w:szCs w:val="4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b/>
          <w:color w:val="FF0000"/>
          <w:sz w:val="44"/>
          <w:szCs w:val="4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b/>
          <w:color w:val="FF0000"/>
          <w:sz w:val="44"/>
          <w:szCs w:val="4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b/>
          <w:color w:val="FF0000"/>
          <w:sz w:val="44"/>
          <w:szCs w:val="4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b/>
          <w:color w:val="FF0000"/>
          <w:sz w:val="44"/>
          <w:szCs w:val="4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b/>
          <w:color w:val="FF0000"/>
          <w:sz w:val="44"/>
          <w:szCs w:val="4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Semibold"/>
          <w:b/>
          <w:bCs/>
          <w:sz w:val="28"/>
          <w:szCs w:val="28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Semibold"/>
          <w:b/>
          <w:bCs/>
          <w:sz w:val="28"/>
          <w:szCs w:val="28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sz w:val="28"/>
          <w:szCs w:val="28"/>
        </w:rPr>
        <w:lastRenderedPageBreak/>
        <w:t>Traguardi per lo sviluppo delle competenze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sz w:val="28"/>
          <w:szCs w:val="28"/>
        </w:rPr>
        <w:t xml:space="preserve">al termine della </w:t>
      </w:r>
      <w:r w:rsidRPr="00E27BC1">
        <w:rPr>
          <w:rFonts w:ascii="Times New Roman" w:hAnsi="Times New Roman" w:cs="AGaramond-Semibold"/>
          <w:b/>
          <w:bCs/>
          <w:sz w:val="28"/>
          <w:szCs w:val="28"/>
          <w:u w:val="single"/>
        </w:rPr>
        <w:t>scuola primaria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Si  muove con sicurezza nel calcolo scritto e mentale con i numeri naturali e sa valutare l’opportunità di ricorrere a una calcolatrice.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Riconosce e rappresenta forme del piano e dello spazio, relazioni e strutture che si trovano in natura o che sono state create dall’uomo.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TP-III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Descrive, denomina e classifica figure in base a caratteristiche geometriche, ne determina misure, progetta e costruisce modelli concreti di vario tipo.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TP-IV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Utilizza strumenti per il disegno geometrico (riga, compasso, squadra) e  i più comuni strumenti di misura (metro, goniometro, …).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TP-V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Ricerca dati per ricavare informazioni e costruisce rappresentazioni (tabelle e grafici). Ricava informazioni anche da dati rappresentati in tabelle e grafici.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TP-VI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Riconosce e quantifica, in casi semplici, situazioni di incertezza.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TP-VII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Legge e comprende testi che coinvolgono aspetti logici e matematici.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TP-VIII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Riesce a risolvere facili problemi in tutti gli ambiti di contenuto, mantenendo il controllo sia sul processo risolutivo, sia sui risultati. Descrive il procedimento seguito e riconosce strategie di soluzione diverse dalla propria.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TP-IX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Costruisce ragionamenti formulando ipotesi, sostenendo le proprie idee e confrontandosi con il punto di vista degli altri.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TP-X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Riconosce e utilizza rappresentazioni diverse di oggetti matematici (numeri decimali, frazioni, percentuali, scale di riduzione, …).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TP-XI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Sviluppa un atteggiamento positivo rispetto alla matematica, attraverso esperienze significative, che gli hanno fatto intuire come gli strumenti matematici che ha imparato siano utili per operare nella realtà.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8"/>
          <w:szCs w:val="28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sz w:val="28"/>
          <w:szCs w:val="28"/>
        </w:rPr>
        <w:t>Traguardi per lo sviluppo delle competenze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sz w:val="28"/>
          <w:szCs w:val="28"/>
        </w:rPr>
        <w:t xml:space="preserve">al termine della </w:t>
      </w:r>
      <w:r w:rsidRPr="00E27BC1">
        <w:rPr>
          <w:rFonts w:ascii="Times New Roman" w:hAnsi="Times New Roman" w:cs="AGaramond-Semibold"/>
          <w:b/>
          <w:bCs/>
          <w:sz w:val="28"/>
          <w:szCs w:val="28"/>
          <w:u w:val="single"/>
        </w:rPr>
        <w:t>scuola secondaria di primo grado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tabs>
          <w:tab w:val="left" w:pos="567"/>
        </w:tabs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Si  muove con sicurezza nel calcolo anche con i numeri razionali, ne padroneggia le diverse rappresentazioni e stima la grandezza di un numero e il risultato di operazioni.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TS-XIII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Riconosce e denomina le forme del piano e dello spazio, le loro rappresentazioni e ne coglie le relazioni tra gli elementi.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TS-XIV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Analizza e interpreta rappresentazioni di dati per ricavarne misure di variabilità e prendere decisioni.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TS-XV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Riconosce e risolve problemi in contesti diversi valutando le informazioni e la loro coerenza.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TS-XVI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Spiega il procedimento seguito, anche in forma scritta, mantenendo il controllo sia sul processo risolutivo, sia sui risultati.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TS-XVII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Confronta procedimenti diversi e produce formalizzazioni che gli consentono di passare da un problema specifico a una classe di problemi.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TS-XVIII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Produce argomentazioni in base alle conoscenze teoriche acquisite (ad esempio sa utilizzare i concetti di proprietà caratterizzante e di definizione).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TS-XIX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Sostiene le proprie convinzioni, portando esempi e controesempi adeguati e utilizzando concatenazioni di affermazioni; accetta di cambiare opinione riconoscendo le conseguenze logiche di una argomentazione corretta.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TS-XX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 e interpreta il linguaggio matematico (piano cartesiano, formule, equazioni, …) e ne coglie il rapporto con il linguaggio naturale.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TS-XXI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Nelle situazioni di incertezza (vita quotidiana, giochi, …) si orienta con valutazioni di probabilità.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TS-XXII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Ha rafforzato un atteggiamento positivo rispetto alla matematica attraverso esperienze significative e ha capito come gli strumenti matematici appresi siano utili in molte situazioni per operare nella realtà.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color w:val="231F20"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</w:rPr>
        <w:t>Obiettivi di apprendimento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color w:val="231F20"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</w:rPr>
        <w:t xml:space="preserve">al termine della </w:t>
      </w: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  <w:u w:val="single"/>
        </w:rPr>
        <w:t>classe terza della scuola primaria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Italic"/>
          <w:b/>
          <w:i/>
          <w:iCs/>
          <w:color w:val="FF000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Ob3-01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Contare oggetti o eventi, a voce e mentalmente, in senso progressivo e regressivo e per salti di due, tre, …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Ob3-02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Leggere e scrivere i numeri naturali in notazione decimale, avendo consapevolezza della notazione posizionale; confrontarli e ordinarli, anche rappresentandoli sulla retta.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Eseguire mentalmente semplici operazioni con i numeri naturali e verbalizzare le procedure di calcolo.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Ob3-04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Conoscere con sicurezza le tabelline della moltiplicazione dei numeri fino a 10. Eseguire le operazioni con i numeri naturali con gli algoritmi scritti usuali.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Ob3-05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Leggere, scrivere, confrontare numeri decimali, rappresentarli sulla retta ed eseguire semplici addizioni e sottrazioni, anche con riferimento alle monete o ai risultati di semplici </w:t>
      </w:r>
      <w:r w:rsidRPr="00E27BC1">
        <w:rPr>
          <w:rFonts w:ascii="Times New Roman" w:hAnsi="Times New Roman"/>
          <w:sz w:val="24"/>
          <w:szCs w:val="24"/>
        </w:rPr>
        <w:t>misure.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Percepire la propria posizione nello spazio e stimare distanze e volumi a partire dal proprio corpo.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Ob3-07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Comunicare la posizione di oggetti nello spazio fisico, sia rispetto al soggetto, sia rispetto ad altre persone o oggetti, usando termini adeguati (sopra/sotto, davanti/dietro, destra/sinistra, dentro/fuori).</w:t>
      </w:r>
      <w:bookmarkStart w:id="0" w:name="_GoBack"/>
      <w:bookmarkEnd w:id="0"/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Ob3-08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Eseguire un semplice percorso partendo dalla descrizione verbale o dal disegno, descrivere un percorso che si sta facendo e dare le istruzioni a qualcuno perché compia un percorso desiderato.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Ob3-09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Riconoscere, denominare e descrivere figure geometriche.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Ob3-10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Disegnare figure geometriche e costruire modelli materiali anche nello spazio.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Italic"/>
          <w:b/>
          <w:bCs/>
          <w:iCs/>
          <w:color w:val="000000"/>
          <w:sz w:val="24"/>
          <w:szCs w:val="24"/>
        </w:rPr>
        <w:t>Ob3-11</w:t>
      </w:r>
      <w:r w:rsidRPr="00E27BC1">
        <w:rPr>
          <w:rFonts w:ascii="Times New Roman" w:hAnsi="Times New Roman" w:cs="AGaramond-Italic"/>
          <w:b/>
          <w:bCs/>
          <w:iCs/>
          <w:color w:val="00000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Classificare numeri, figure, oggetti in base a una o più proprietà, utilizzando rappresentazioni opportune, a seconda dei contesti e dei fini.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Italic"/>
          <w:b/>
          <w:i/>
          <w:iCs/>
          <w:color w:val="FF0000"/>
          <w:sz w:val="24"/>
          <w:szCs w:val="24"/>
        </w:rPr>
        <w:t xml:space="preserve"> </w:t>
      </w:r>
      <w:r w:rsidRPr="00E27BC1">
        <w:rPr>
          <w:rFonts w:ascii="Times New Roman" w:hAnsi="Times New Roman" w:cs="AGaramond-Italic"/>
          <w:b/>
          <w:color w:val="000000"/>
          <w:sz w:val="24"/>
          <w:szCs w:val="24"/>
        </w:rPr>
        <w:t>Ob3-12</w:t>
      </w:r>
      <w:r w:rsidRPr="00E27BC1">
        <w:rPr>
          <w:rFonts w:ascii="Times New Roman" w:hAnsi="Times New Roman" w:cs="AGaramond-Italic"/>
          <w:b/>
          <w:color w:val="00000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Argomentare sui criteri che sono stati usati per realizzare classificazioni e ordinamenti assegnati.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Ob3-13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Leggere e rappresentare relazioni e dati con diagrammi, schemi e tabelle.</w:t>
      </w:r>
    </w:p>
    <w:p w:rsidR="00E27BC1" w:rsidRPr="00E27BC1" w:rsidRDefault="00E27BC1" w:rsidP="00E27BC1">
      <w:pPr>
        <w:pStyle w:val="ListParagraph"/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Ob3-14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Misurare grandezze (lunghezze, tempo, ecc. ) utilizzando sia unità arbitrarie sia unità e strumenti convenzionali (metro, orologio, ecc.) .</w:t>
      </w:r>
    </w:p>
    <w:p w:rsidR="00E27BC1" w:rsidRPr="00E27BC1" w:rsidRDefault="00E27BC1" w:rsidP="00E27BC1">
      <w:pPr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color w:val="231F20"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</w:rPr>
        <w:t>Obiettivi di apprendimento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color w:val="231F20"/>
          <w:sz w:val="28"/>
          <w:szCs w:val="28"/>
          <w:u w:val="single"/>
        </w:rPr>
      </w:pP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</w:rPr>
        <w:t xml:space="preserve">al termine della </w:t>
      </w: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  <w:u w:val="single"/>
        </w:rPr>
        <w:t>classe quinta della scuola primaria</w:t>
      </w:r>
    </w:p>
    <w:p w:rsidR="00E27BC1" w:rsidRPr="00E27BC1" w:rsidRDefault="00E27BC1" w:rsidP="00E27BC1">
      <w:pPr>
        <w:autoSpaceDE w:val="0"/>
        <w:spacing w:before="240" w:line="240" w:lineRule="auto"/>
        <w:ind w:left="1276" w:hanging="1134"/>
        <w:jc w:val="both"/>
        <w:rPr>
          <w:rFonts w:ascii="Times New Roman" w:hAnsi="Times New Roman" w:cs="AGaramond-Italic"/>
          <w:b/>
          <w:i/>
          <w:iCs/>
          <w:color w:val="FF000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Ob5-15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Leggere, scrivere, confrontare numeri decimali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Ob5-16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Eseguire le quattro operazioni con sicurezza, valutando l’opportunità di ricorrere al calcolo mentale, scritto o con la calcolatrice a seconda delle situazioni. 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Ob5-17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Eseguire la divisione con resto fra numeri naturali; individuare multipli e divisori di un numero.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Ob5-18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Stimare il risultato di una operazione.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Ob5-19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Operare con le frazioni e riconoscere  frazioni equivalenti.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Ob5-20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Utilizzare numeri decimali, frazioni e percentuali per descrivere situazioni quotidiane.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Ob5-21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Interpretare i numeri interi negativi in contesti concreti.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Ob5-22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Rappresentare i numeri conosciuti sulla retta e utilizzare scale graduate in contesti significativi per le scienze e per la tecnica.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Italic"/>
          <w:b/>
          <w:i/>
          <w:iCs/>
          <w:color w:val="FF000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Conoscere sistemi di notazioni dei numeri che sono o sono stati in uso in luoghi, tempi e culture diverse dalla nostra. 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Ob5-24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Descrivere, denominare e classificare figure geometriche, identificando elementi significativi e simmetrie, anche al fine di farle riprodurre da altri.  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Ob5-25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Riprodurre una figura in base a una descrizione, utilizzando gli strumenti opportuni (carta a quadretti, riga e compasso, squadre, software di geometria).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Utilizzare il piano cartesiano per localizzare punti.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Ob5-27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Costruire e utilizzare modelli materiali nello spazio e nel piano come supporto a una prima capacità di visualizzazione.  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Ob5-28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Riconoscere figure ruotate, traslate e riflesse.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Ob5-29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Confrontare e misurare angoli utilizzando proprietà e strumenti.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Ob5-30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Utilizzare e distinguere fra loro i concetti di perpendicolarità, parallelismo, orizzontalità, verticalità.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000000"/>
          <w:sz w:val="24"/>
          <w:szCs w:val="24"/>
        </w:rPr>
        <w:t xml:space="preserve"> Ob5-31</w:t>
      </w:r>
      <w:r w:rsidRPr="00E27BC1">
        <w:rPr>
          <w:rFonts w:ascii="Times New Roman" w:hAnsi="Times New Roman" w:cs="AGaramond-Regular"/>
          <w:b/>
          <w:bCs/>
          <w:color w:val="00000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Riprodurre in scala una figura assegnata (utilizzando, ad esempio, la carta a quadretti).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sz w:val="24"/>
          <w:szCs w:val="24"/>
        </w:rPr>
      </w:pPr>
      <w:r w:rsidRPr="00E27BC1">
        <w:rPr>
          <w:rFonts w:ascii="Times New Roman" w:hAnsi="Times New Roman" w:cs="AGaramond-Regular"/>
          <w:b/>
          <w:color w:val="FF0000"/>
          <w:sz w:val="24"/>
          <w:szCs w:val="24"/>
        </w:rPr>
        <w:t xml:space="preserve"> </w:t>
      </w:r>
      <w:r w:rsidRPr="00E27BC1">
        <w:rPr>
          <w:rFonts w:ascii="Times New Roman" w:hAnsi="Times New Roman" w:cs="AGaramond-Regular"/>
          <w:b/>
          <w:bCs/>
          <w:color w:val="000000"/>
          <w:sz w:val="24"/>
          <w:szCs w:val="24"/>
        </w:rPr>
        <w:t>Ob5-32</w:t>
      </w:r>
      <w:r w:rsidRPr="00E27BC1">
        <w:rPr>
          <w:rFonts w:ascii="Times New Roman" w:hAnsi="Times New Roman" w:cs="AGaramond-Regular"/>
          <w:b/>
          <w:bCs/>
          <w:color w:val="000000"/>
          <w:sz w:val="24"/>
          <w:szCs w:val="24"/>
        </w:rPr>
        <w:tab/>
      </w:r>
      <w:r w:rsidRPr="00E27BC1">
        <w:rPr>
          <w:rFonts w:ascii="Times New Roman" w:hAnsi="Times New Roman" w:cs="AGaramond-Regular"/>
          <w:sz w:val="24"/>
          <w:szCs w:val="24"/>
        </w:rPr>
        <w:t xml:space="preserve">Determinare il perimetro di una figura utilizzando le più comuni formule o altri procedimenti.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Ob5-33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Determinare l’area di rettangoli e triangoli e di altre figure per scomposizione o utilizzando le più comuni formule.</w:t>
      </w:r>
      <w:r w:rsidRPr="00E27BC1">
        <w:rPr>
          <w:rFonts w:ascii="Times New Roman" w:hAnsi="Times New Roman" w:cs="AGaramond-Regular"/>
          <w:sz w:val="24"/>
          <w:szCs w:val="24"/>
        </w:rPr>
        <w:t xml:space="preserve">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Italic"/>
          <w:iCs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sz w:val="24"/>
          <w:szCs w:val="24"/>
        </w:rPr>
        <w:t>Ob5-34</w:t>
      </w:r>
      <w:r w:rsidRPr="00E27BC1">
        <w:rPr>
          <w:rFonts w:ascii="Times New Roman" w:hAnsi="Times New Roman" w:cs="AGaramond-Regular"/>
          <w:b/>
          <w:bCs/>
          <w:sz w:val="24"/>
          <w:szCs w:val="24"/>
        </w:rPr>
        <w:tab/>
      </w:r>
      <w:r w:rsidRPr="00E27BC1">
        <w:rPr>
          <w:rFonts w:ascii="Times New Roman" w:hAnsi="Times New Roman" w:cs="AGaramond-Regular"/>
          <w:sz w:val="24"/>
          <w:szCs w:val="24"/>
        </w:rPr>
        <w:t>Riconoscere rappresentazioni piane di oggetti tridimensionali, identificare punti di vista diversi di uno stesso oggetto (dall’alto, di fronte, ecc.).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Italic"/>
          <w:b/>
          <w:color w:val="000000"/>
          <w:sz w:val="24"/>
          <w:szCs w:val="24"/>
        </w:rPr>
        <w:t>Ob5-35</w:t>
      </w:r>
      <w:r w:rsidRPr="00E27BC1">
        <w:rPr>
          <w:rFonts w:ascii="Times New Roman" w:hAnsi="Times New Roman" w:cs="AGaramond-Italic"/>
          <w:b/>
          <w:color w:val="00000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Rappresentare relazioni e dati e, in situazioni significative, utilizzare le rappresentazioni per ricavare informazioni, formulare giudizi e prendere decisioni.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Ob5-36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Usare le nozioni di frequenza, di moda e di media aritmetica, se adeguata alla tipologia dei dati a disposizione.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Ob5-37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Rappresentare problemi con tabelle e grafici che ne esprimono la struttura.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Ob5-38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Utilizzare le principali unità di misura per lunghezze, angoli, aree, volumi/capacità, intervalli temporali, masse, pesi per effettuare misure e stime.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 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Ob5-39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 Passare da un’unità di misura a un'altra, limitatamente alle unità di uso più comune, anche nel contesto del sistema monetario.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 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Ob5-40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In situazioni concrete, di una coppia di eventi intuire e cominciare ad argomentare qual è il più probabile, dando una prima quantificazione nei casi più semplici, oppure riconoscere se si tratta di eventi ugualmente probabili.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Ob5-41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 Riconoscere e descrivere regolarità in una sequenza di numeri o di figure.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jc w:val="both"/>
        <w:rPr>
          <w:rFonts w:ascii="Times New Roman" w:hAnsi="Times New Roman" w:cs="AGaramond-Regular"/>
          <w:b/>
          <w:color w:val="FF0000"/>
          <w:sz w:val="24"/>
          <w:szCs w:val="24"/>
        </w:rPr>
      </w:pP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color w:val="231F20"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</w:rPr>
        <w:t>Obiettivi di apprendimento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center"/>
        <w:rPr>
          <w:rFonts w:ascii="Times New Roman" w:hAnsi="Times New Roman" w:cs="AGaramond-Semibold"/>
          <w:b/>
          <w:bCs/>
          <w:color w:val="231F20"/>
          <w:sz w:val="28"/>
          <w:szCs w:val="28"/>
        </w:rPr>
      </w:pP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</w:rPr>
        <w:t xml:space="preserve">al termine della classe </w:t>
      </w:r>
      <w:r w:rsidRPr="00E27BC1">
        <w:rPr>
          <w:rFonts w:ascii="Times New Roman" w:hAnsi="Times New Roman" w:cs="AGaramond-Semibold"/>
          <w:b/>
          <w:bCs/>
          <w:color w:val="231F20"/>
          <w:sz w:val="28"/>
          <w:szCs w:val="28"/>
          <w:u w:val="single"/>
        </w:rPr>
        <w:t>terza della scuola secondaria di primo grado</w:t>
      </w:r>
    </w:p>
    <w:p w:rsidR="00E27BC1" w:rsidRP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Italic"/>
          <w:b/>
          <w:i/>
          <w:iCs/>
          <w:color w:val="FF000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Ob8-42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Eseguire addizioni, sottrazioni, moltiplicazioni, divisioni, ordinamenti e confronti tra numeri conosciuti (numeri naturali, numeri interi, frazioni e numeri decimali), quando possibile a mente oppure utilizzando gli usuali algoritmi scritti, le calcolatrici e i fogli di calcolo e valutando quale strumento può essere più opportuno.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Ob8-43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Dare stime approssimate per il risultato di una operazione e controllare la plausibilità di un calcolo.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Ob8-44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Rappresentare i numeri conosciuti sulla retta.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Ob8-45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Utilizzare scale graduate in contesti significativi per le scienze e per la tecnica.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Ob8-46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Utilizzare il concetto di rapporto fra numeri o misure ed esprimerlo sia nella forma decimale, sia mediante frazione.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Ob8-47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Utilizzare frazioni equivalenti e numeri decimali per denotare uno stesso numero razionale in diversi modi, essendo consapevoli di vantaggi e svantaggi delle diverse rappresentazioni.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Ob8-48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Comprendere il significato di percentuale e saperla calcolare utilizzando strategie diverse.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Ob8-49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Interpretare una variazione percentuale di una quantità data come una moltiplicazione per un numero decimale.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Ob8-50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Individuare multipli e divisori di un numero naturale e multipli e divisori comuni a più numeri.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Ob8-51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Comprendere il significato e l’utilità del multiplo comune più piccolo e del divisore comune più grande, in matematica e in situazioni concrete.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Ob8-52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In casi semplici scomporre numeri naturali in fattori primi e conoscere l’utilità di tale scomposizione per diversi fini.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Utilizzare la notazione usuale per le potenze con esponente intero positivo, consapevoli del significato, e le proprietà delle potenze per semplificare calcoli e notazioni.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Ob8-54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Conoscere la radice quadrata come operatore inverso dell’elevamento al quadrato.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Ob8-55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Dare stime della radice quadrata utilizzando solo la moltiplicazione.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Sapere che non si può trovare una frazione o un numero decimale che elevato al quadrato dà 2, o altri numeri interi.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Ob8-57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Utilizzare la proprietà associativa e distributiva per raggruppare e semplificare, anche mentalmente, le operazioni.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Ob8-58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Descrivere con un’espressione numerica la sequenza di operazioni che fornisce la soluzione di un problema.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Ob8-59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Eseguire semplici espressioni di calcolo con i numeri conosciuti, essendo consapevoli del significato delle parentesi e delle convenzioni sulla precedenza delle operazioni.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Italic"/>
          <w:b/>
          <w:i/>
          <w:iCs/>
          <w:color w:val="FF000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Ob8-60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Esprimere misure utilizzando anche le potenze del 10 e le cifre significative.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Ob8-61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Riprodurre figure e disegni geometrici, utilizzando in modo appropriato e con accuratezza opportuni strumenti (riga, squadra, compasso, goniometro, software di geometria).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Ob8-62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Rappresentare punti, segmenti e figure sul piano cartesiano.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Conoscere definizioni e proprietà (angoli, assi di simmetria, diagonali, …) delle principali figure piane (triangoli, quadrilateri, poligoni regolari, cerchio).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Ob8-64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Descrivere figure complesse e costruzioni geometriche al fine di comunicarle ad altri.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Ob8-65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Riprodurre figure e disegni geometrici in base a una descrizione e codificazione fatta da altri.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Riconoscere figure piane simili in vari contesti e riprodurre in scala una figura assegnata.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Ob8-67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Conoscere il Teorema di Pitagora e le sue applicazioni in matematica e situazioni concrete.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Ob8-68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Determinare l’area di semplici figure scomponendole in figure elementari, ad esempio triangoli, o utilizzando le più comuni formule.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Ob8-69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Stimare per difetto e per eccesso l’area di una figura delimitata anche da linee curve.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Ob8-70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Conoscere il numero π, e alcuni modi per approssimarlo.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Ob8-71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Calcolare l’area del cerchio e la lunghezza della circonferenza, conoscendo il raggio, e viceversa.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Ob8-72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Conoscere e utilizzare le principali trasformazioni geometriche e i loro invarianti.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Rappresentare oggetti e figure tridimensionali in vario modo tramite disegni sul piano.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Ob8-74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Visualizzare oggetti tridimensionali a partire da rappresentazioni bidimensionali.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Ob8-75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Calcolare l’area e il volume delle figure solide più comuni e dare stime di oggetti della vita quotidiana.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Italic"/>
          <w:b/>
          <w:iCs/>
          <w:color w:val="FF000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Risolvere problemi utilizzando le proprietà geometriche delle figure.</w:t>
      </w:r>
      <w:r w:rsidRPr="00E27BC1">
        <w:rPr>
          <w:rFonts w:ascii="Times New Roman" w:hAnsi="Times New Roman" w:cs="AGaramond-Italic"/>
          <w:b/>
          <w:iCs/>
          <w:color w:val="FF0000"/>
          <w:sz w:val="24"/>
          <w:szCs w:val="24"/>
        </w:rPr>
        <w:t xml:space="preserve">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Ob8-77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Interpretare, costruire e trasformare formule che contengono lettere per esprimere in forma generale relazioni e proprietà.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Ob8-78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Esprimere la relazione di proporzionalità con un’uguaglianza di frazioni e viceversa.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Ob8-79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Usare il piano cartesiano per rappresentare relazioni e funzioni empiriche o ricavate da tabelle, e per conoscere in particolare le funzioni del tipo y=ax, y=a/x, y=ax</w:t>
      </w:r>
      <w:r w:rsidRPr="00E27BC1">
        <w:rPr>
          <w:rFonts w:ascii="Times New Roman" w:hAnsi="Times New Roman" w:cs="AGaramond-Regular"/>
          <w:color w:val="231F20"/>
          <w:sz w:val="24"/>
          <w:szCs w:val="24"/>
          <w:vertAlign w:val="superscript"/>
        </w:rPr>
        <w:t>2</w:t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, y=2</w:t>
      </w:r>
      <w:r w:rsidRPr="00E27BC1">
        <w:rPr>
          <w:rFonts w:ascii="Times New Roman" w:hAnsi="Times New Roman" w:cs="AGaramond-Regular"/>
          <w:color w:val="231F20"/>
          <w:sz w:val="24"/>
          <w:szCs w:val="24"/>
          <w:vertAlign w:val="superscript"/>
        </w:rPr>
        <w:t>n</w:t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 e i loro grafici e collegare le prime due al concetto di proporzionalità.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Ob8-80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Esplorare e risolvere problemi utilizzando equazioni di primo grado.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Ob8-81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Rappresentare insiemi di dati, facendo uso di un foglio elettronico.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Ob8-82</w:t>
      </w:r>
      <w:r>
        <w:rPr>
          <w:rFonts w:ascii="Times New Roman" w:hAnsi="Times New Roman" w:cs="AGaramond-Regular"/>
          <w:b/>
          <w:bCs/>
          <w:color w:val="231F20"/>
          <w:sz w:val="24"/>
          <w:szCs w:val="24"/>
        </w:rPr>
        <w:t xml:space="preserve">     </w:t>
      </w:r>
      <w:r w:rsidRPr="00E27BC1">
        <w:rPr>
          <w:rFonts w:ascii="Times New Roman" w:hAnsi="Times New Roman" w:cs="AGaramond-Regular"/>
          <w:bCs/>
          <w:color w:val="231F20"/>
          <w:sz w:val="24"/>
          <w:szCs w:val="24"/>
        </w:rPr>
        <w:t>I</w:t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n situazioni significative, confrontare dati al fine di prendere decisioni, utilizzando le distribuzioni delle frequenze e delle frequenze relative.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Ob8-83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Scegliere ed utilizzare valori medi (moda, mediana, media aritmetica) adeguati alla tipologia ed alle caratteristiche dei dati a disposizione.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Ob8-84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Saper valutare la variabilità di un insieme di dati determinandone, ad esempio, il campo di variazione. </w:t>
      </w:r>
    </w:p>
    <w:p w:rsidR="00E27BC1" w:rsidRP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Ob8-85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 xml:space="preserve">In semplici situazioni aleatorie, individuare gli eventi elementari, assegnare a essi una probabilità, calcolare la probabilità di qualche evento, scomponendolo in eventi elementari disgiunti. </w:t>
      </w:r>
    </w:p>
    <w:p w:rsidR="00E27BC1" w:rsidRDefault="00E27BC1" w:rsidP="00E27BC1">
      <w:pPr>
        <w:pStyle w:val="ListParagraph"/>
        <w:autoSpaceDE w:val="0"/>
        <w:spacing w:before="240" w:after="0" w:line="240" w:lineRule="auto"/>
        <w:ind w:left="1276" w:hanging="1134"/>
        <w:jc w:val="both"/>
        <w:rPr>
          <w:rFonts w:ascii="Times New Roman" w:hAnsi="Times New Roman" w:cs="AGaramond-Regular"/>
          <w:color w:val="231F20"/>
          <w:sz w:val="24"/>
          <w:szCs w:val="24"/>
        </w:rPr>
      </w:pP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>Ob8-86</w:t>
      </w:r>
      <w:r w:rsidRPr="00E27BC1">
        <w:rPr>
          <w:rFonts w:ascii="Times New Roman" w:hAnsi="Times New Roman" w:cs="AGaramond-Regular"/>
          <w:b/>
          <w:bCs/>
          <w:color w:val="231F20"/>
          <w:sz w:val="24"/>
          <w:szCs w:val="24"/>
        </w:rPr>
        <w:tab/>
      </w:r>
      <w:r w:rsidRPr="00E27BC1">
        <w:rPr>
          <w:rFonts w:ascii="Times New Roman" w:hAnsi="Times New Roman" w:cs="AGaramond-Regular"/>
          <w:color w:val="231F20"/>
          <w:sz w:val="24"/>
          <w:szCs w:val="24"/>
        </w:rPr>
        <w:t>Riconoscere coppie di eventi complementari, incompatibili, indipendenti.</w:t>
      </w:r>
      <w:r>
        <w:rPr>
          <w:rFonts w:ascii="Times New Roman" w:hAnsi="Times New Roman" w:cs="AGaramond-Regular"/>
          <w:color w:val="231F20"/>
          <w:sz w:val="24"/>
          <w:szCs w:val="24"/>
        </w:rPr>
        <w:t xml:space="preserve"> </w:t>
      </w: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cs="AGaramond-Regular"/>
          <w:color w:val="231F20"/>
        </w:rPr>
      </w:pP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cs="AGaramond-Regular"/>
          <w:color w:val="231F20"/>
        </w:rPr>
      </w:pP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cs="AGaramond-Regular"/>
          <w:color w:val="231F20"/>
        </w:rPr>
      </w:pP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cs="AGaramond-Regular"/>
          <w:color w:val="231F20"/>
        </w:rPr>
      </w:pPr>
    </w:p>
    <w:p w:rsidR="00E27BC1" w:rsidRDefault="00E27BC1" w:rsidP="00E27BC1">
      <w:pPr>
        <w:autoSpaceDE w:val="0"/>
        <w:spacing w:before="240" w:after="0" w:line="240" w:lineRule="auto"/>
        <w:ind w:left="1276" w:hanging="1134"/>
        <w:jc w:val="both"/>
        <w:rPr>
          <w:rFonts w:cs="AGaramond-Regular"/>
          <w:color w:val="231F20"/>
        </w:rPr>
      </w:pPr>
    </w:p>
    <w:p w:rsidR="00E27BC1" w:rsidRDefault="00E27BC1" w:rsidP="00E27BC1">
      <w:pPr>
        <w:autoSpaceDE w:val="0"/>
        <w:spacing w:before="240" w:after="0" w:line="240" w:lineRule="auto"/>
        <w:ind w:left="426" w:hanging="426"/>
        <w:rPr>
          <w:rFonts w:cs="AGaramond-Regular"/>
          <w:color w:val="231F20"/>
        </w:rPr>
      </w:pP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-Bold">
    <w:charset w:val="00"/>
    <w:family w:val="auto"/>
    <w:pitch w:val="default"/>
    <w:sig w:usb0="00000000" w:usb1="00000000" w:usb2="00000000" w:usb3="00000000" w:csb0="00000000" w:csb1="00000000"/>
  </w:font>
  <w:font w:name="AGaramond-Semibold">
    <w:charset w:val="00"/>
    <w:family w:val="roman"/>
    <w:pitch w:val="default"/>
    <w:sig w:usb0="00000000" w:usb1="00000000" w:usb2="00000000" w:usb3="00000000" w:csb0="00000000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E27BC1"/>
    <w:rsid w:val="00587CB8"/>
    <w:rsid w:val="005D5A2B"/>
    <w:rsid w:val="008F043D"/>
    <w:rsid w:val="00B56E96"/>
    <w:rsid w:val="00E27BC1"/>
    <w:rsid w:val="00E6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7BC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stParagraph">
    <w:name w:val="List Paragraph"/>
    <w:basedOn w:val="Normale"/>
    <w:rsid w:val="00E27BC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2270</Words>
  <Characters>12945</Characters>
  <Application>Microsoft Office Word</Application>
  <DocSecurity>0</DocSecurity>
  <Lines>107</Lines>
  <Paragraphs>30</Paragraphs>
  <ScaleCrop>false</ScaleCrop>
  <Company>TOSHIBA</Company>
  <LinksUpToDate>false</LinksUpToDate>
  <CharactersWithSpaces>15185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2014-05-19T11:07:00Z</dcterms:created>
  <dcterms:modified xsi:type="dcterms:W3CDTF">2014-05-19T11:09:00Z</dcterms:modified>
</cp:coreProperties>
</file>